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377" w:rsidRDefault="005F5377" w:rsidP="00955A9F">
      <w:pPr>
        <w:pStyle w:val="a3"/>
        <w:spacing w:beforeLines="50" w:afterLines="50" w:line="440" w:lineRule="exact"/>
        <w:rPr>
          <w:rFonts w:ascii="Arial" w:hAnsi="Arial" w:cs="Arial"/>
          <w:sz w:val="28"/>
        </w:rPr>
      </w:pPr>
      <w:r w:rsidRPr="006230EE">
        <w:rPr>
          <w:rFonts w:ascii="Arial" w:hAnsi="Arial" w:cs="Arial" w:hint="eastAsia"/>
          <w:sz w:val="28"/>
        </w:rPr>
        <w:t>國立故宮博物院南部院區附屬文教設施民間參與興建營運移轉案</w:t>
      </w:r>
    </w:p>
    <w:p w:rsidR="005F5377" w:rsidRPr="00AE1A5A" w:rsidRDefault="005F5377" w:rsidP="00955A9F">
      <w:pPr>
        <w:pStyle w:val="a3"/>
        <w:spacing w:beforeLines="50" w:afterLines="50" w:line="440" w:lineRule="exact"/>
        <w:rPr>
          <w:rFonts w:ascii="Arial" w:hAnsi="Arial" w:cs="Arial"/>
          <w:sz w:val="28"/>
        </w:rPr>
      </w:pPr>
      <w:r w:rsidRPr="001B19B9">
        <w:rPr>
          <w:rFonts w:ascii="Arial" w:hAnsi="Arial" w:cs="Arial" w:hint="eastAsia"/>
          <w:sz w:val="28"/>
        </w:rPr>
        <w:t>申請人</w:t>
      </w:r>
      <w:r>
        <w:rPr>
          <w:rFonts w:ascii="Arial" w:hAnsi="Arial" w:cs="Arial" w:hint="eastAsia"/>
          <w:sz w:val="28"/>
        </w:rPr>
        <w:t>請求</w:t>
      </w:r>
      <w:r w:rsidRPr="0073699E">
        <w:rPr>
          <w:rFonts w:ascii="Arial" w:hAnsi="Arial" w:cs="Arial"/>
          <w:sz w:val="28"/>
        </w:rPr>
        <w:t>釋疑</w:t>
      </w:r>
      <w:r>
        <w:rPr>
          <w:rFonts w:ascii="Arial" w:hAnsi="Arial" w:cs="Arial" w:hint="eastAsia"/>
          <w:sz w:val="28"/>
        </w:rPr>
        <w:t>回復</w:t>
      </w:r>
      <w:r w:rsidRPr="0073699E">
        <w:rPr>
          <w:rFonts w:ascii="Arial" w:hAnsi="Arial" w:cs="Arial" w:hint="eastAsia"/>
          <w:sz w:val="28"/>
        </w:rPr>
        <w:t>表</w:t>
      </w:r>
    </w:p>
    <w:tbl>
      <w:tblPr>
        <w:tblW w:w="495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297"/>
        <w:gridCol w:w="1122"/>
        <w:gridCol w:w="880"/>
        <w:gridCol w:w="2795"/>
        <w:gridCol w:w="3194"/>
      </w:tblGrid>
      <w:tr w:rsidR="005F5377" w:rsidRPr="00AE1A5A" w:rsidTr="00D27893">
        <w:trPr>
          <w:tblHeader/>
          <w:jc w:val="center"/>
        </w:trPr>
        <w:tc>
          <w:tcPr>
            <w:tcW w:w="179" w:type="pct"/>
            <w:tcBorders>
              <w:top w:val="single" w:sz="12" w:space="0" w:color="auto"/>
              <w:bottom w:val="single" w:sz="4" w:space="0" w:color="auto"/>
            </w:tcBorders>
            <w:vAlign w:val="center"/>
          </w:tcPr>
          <w:p w:rsidR="005F5377" w:rsidRPr="00AE1A5A" w:rsidRDefault="005F5377" w:rsidP="00D27893">
            <w:pPr>
              <w:snapToGrid w:val="0"/>
              <w:spacing w:line="360" w:lineRule="exact"/>
              <w:jc w:val="center"/>
              <w:rPr>
                <w:rFonts w:ascii="Arial" w:eastAsia="標楷體" w:hAnsi="Arial" w:cs="Arial"/>
                <w:szCs w:val="28"/>
              </w:rPr>
            </w:pPr>
            <w:r w:rsidRPr="00AE1A5A">
              <w:rPr>
                <w:rFonts w:ascii="Arial" w:eastAsia="標楷體" w:hAnsi="Arial" w:cs="Arial"/>
                <w:szCs w:val="28"/>
              </w:rPr>
              <w:t>項次</w:t>
            </w:r>
          </w:p>
        </w:tc>
        <w:tc>
          <w:tcPr>
            <w:tcW w:w="677" w:type="pct"/>
            <w:tcBorders>
              <w:top w:val="single" w:sz="12" w:space="0" w:color="auto"/>
              <w:bottom w:val="single" w:sz="4" w:space="0" w:color="auto"/>
            </w:tcBorders>
            <w:vAlign w:val="center"/>
          </w:tcPr>
          <w:p w:rsidR="005F5377" w:rsidRPr="00AE1A5A" w:rsidRDefault="005F5377" w:rsidP="00D27893">
            <w:pPr>
              <w:snapToGrid w:val="0"/>
              <w:spacing w:line="360" w:lineRule="exact"/>
              <w:jc w:val="center"/>
              <w:rPr>
                <w:rFonts w:ascii="Arial" w:eastAsia="標楷體" w:hAnsi="Arial" w:cs="Arial"/>
                <w:szCs w:val="28"/>
              </w:rPr>
            </w:pPr>
            <w:r w:rsidRPr="00AE1A5A">
              <w:rPr>
                <w:rFonts w:ascii="Arial" w:eastAsia="標楷體" w:hAnsi="Arial" w:cs="Arial"/>
                <w:szCs w:val="28"/>
              </w:rPr>
              <w:t>文件標的</w:t>
            </w:r>
          </w:p>
        </w:tc>
        <w:tc>
          <w:tcPr>
            <w:tcW w:w="531" w:type="pct"/>
            <w:tcBorders>
              <w:top w:val="single" w:sz="12" w:space="0" w:color="auto"/>
              <w:bottom w:val="single" w:sz="4" w:space="0" w:color="auto"/>
            </w:tcBorders>
            <w:vAlign w:val="center"/>
          </w:tcPr>
          <w:p w:rsidR="005F5377" w:rsidRPr="00AE1A5A" w:rsidRDefault="005F5377" w:rsidP="00D27893">
            <w:pPr>
              <w:snapToGrid w:val="0"/>
              <w:spacing w:line="360" w:lineRule="exact"/>
              <w:jc w:val="center"/>
              <w:rPr>
                <w:rFonts w:ascii="Arial" w:eastAsia="標楷體" w:hAnsi="Arial" w:cs="Arial"/>
                <w:szCs w:val="28"/>
              </w:rPr>
            </w:pPr>
            <w:r w:rsidRPr="00AE1A5A">
              <w:rPr>
                <w:rFonts w:ascii="Arial" w:eastAsia="標楷體" w:hAnsi="Arial" w:cs="Arial"/>
                <w:szCs w:val="28"/>
              </w:rPr>
              <w:t>頁碼</w:t>
            </w:r>
          </w:p>
        </w:tc>
        <w:tc>
          <w:tcPr>
            <w:tcW w:w="1686" w:type="pct"/>
            <w:tcBorders>
              <w:top w:val="single" w:sz="12" w:space="0" w:color="auto"/>
              <w:bottom w:val="single" w:sz="4" w:space="0" w:color="auto"/>
            </w:tcBorders>
            <w:vAlign w:val="center"/>
          </w:tcPr>
          <w:p w:rsidR="005F5377" w:rsidRPr="00AE1A5A" w:rsidRDefault="005F5377" w:rsidP="00D27893">
            <w:pPr>
              <w:snapToGrid w:val="0"/>
              <w:spacing w:line="360" w:lineRule="exact"/>
              <w:jc w:val="center"/>
              <w:rPr>
                <w:rFonts w:ascii="Arial" w:eastAsia="標楷體" w:hAnsi="Arial" w:cs="Arial"/>
                <w:szCs w:val="28"/>
              </w:rPr>
            </w:pPr>
            <w:r w:rsidRPr="00AE1A5A">
              <w:rPr>
                <w:rFonts w:ascii="Arial" w:eastAsia="標楷體" w:hAnsi="Arial" w:cs="Arial"/>
                <w:szCs w:val="28"/>
              </w:rPr>
              <w:t>請求釋疑問題</w:t>
            </w:r>
          </w:p>
        </w:tc>
        <w:tc>
          <w:tcPr>
            <w:tcW w:w="1927" w:type="pct"/>
            <w:tcBorders>
              <w:top w:val="single" w:sz="12" w:space="0" w:color="auto"/>
              <w:bottom w:val="single" w:sz="4" w:space="0" w:color="auto"/>
            </w:tcBorders>
            <w:vAlign w:val="center"/>
          </w:tcPr>
          <w:p w:rsidR="005F5377" w:rsidRPr="00D26901" w:rsidRDefault="005F5377" w:rsidP="00D27893">
            <w:pPr>
              <w:snapToGrid w:val="0"/>
              <w:spacing w:line="360" w:lineRule="exact"/>
              <w:jc w:val="center"/>
              <w:rPr>
                <w:rFonts w:ascii="Arial" w:eastAsia="標楷體" w:hAnsi="Arial" w:cs="Arial"/>
                <w:color w:val="000000"/>
                <w:szCs w:val="28"/>
              </w:rPr>
            </w:pPr>
            <w:r w:rsidRPr="00D26901">
              <w:rPr>
                <w:rFonts w:ascii="Arial" w:eastAsia="標楷體" w:hAnsi="Arial" w:cs="Arial" w:hint="eastAsia"/>
                <w:color w:val="000000"/>
                <w:szCs w:val="28"/>
              </w:rPr>
              <w:t>回復</w:t>
            </w:r>
          </w:p>
        </w:tc>
      </w:tr>
      <w:tr w:rsidR="005F5377" w:rsidRPr="00AE1A5A" w:rsidTr="00D27893">
        <w:trPr>
          <w:trHeight w:val="719"/>
          <w:jc w:val="center"/>
        </w:trPr>
        <w:tc>
          <w:tcPr>
            <w:tcW w:w="179" w:type="pct"/>
          </w:tcPr>
          <w:p w:rsidR="005F5377" w:rsidRPr="00AE1A5A" w:rsidRDefault="005F5377" w:rsidP="00D27893">
            <w:pPr>
              <w:spacing w:line="320" w:lineRule="exact"/>
              <w:jc w:val="center"/>
              <w:rPr>
                <w:rFonts w:ascii="Arial" w:eastAsia="標楷體" w:hAnsi="Arial" w:cs="Arial"/>
              </w:rPr>
            </w:pPr>
            <w:r w:rsidRPr="00AE1A5A">
              <w:rPr>
                <w:rFonts w:ascii="Arial" w:eastAsia="標楷體" w:hAnsi="Arial" w:cs="Arial"/>
              </w:rPr>
              <w:t>1</w:t>
            </w:r>
          </w:p>
        </w:tc>
        <w:tc>
          <w:tcPr>
            <w:tcW w:w="677" w:type="pct"/>
          </w:tcPr>
          <w:p w:rsidR="005F5377" w:rsidRPr="00506749" w:rsidRDefault="005F5377" w:rsidP="00D27893">
            <w:pPr>
              <w:pStyle w:val="a4"/>
              <w:ind w:leftChars="0" w:left="0"/>
              <w:rPr>
                <w:rFonts w:ascii="Arial" w:eastAsia="標楷體" w:hAnsi="Arial" w:cs="Arial"/>
                <w:color w:val="000000"/>
                <w:lang w:eastAsia="zh-TW"/>
              </w:rPr>
            </w:pPr>
            <w:r w:rsidRPr="003E57E7">
              <w:rPr>
                <w:rFonts w:ascii="標楷體" w:eastAsia="標楷體" w:hAnsi="標楷體" w:hint="eastAsia"/>
              </w:rPr>
              <w:t>國立故宮博物院南部院區附屬文教設施民間參與興建營運移轉案」第一部分甄審作業須知</w:t>
            </w:r>
          </w:p>
        </w:tc>
        <w:tc>
          <w:tcPr>
            <w:tcW w:w="531" w:type="pct"/>
          </w:tcPr>
          <w:p w:rsidR="005F5377" w:rsidRPr="00AE1A5A" w:rsidRDefault="005F5377" w:rsidP="00D27893">
            <w:pPr>
              <w:spacing w:line="320" w:lineRule="exact"/>
              <w:rPr>
                <w:rFonts w:ascii="Arial" w:eastAsia="標楷體" w:hAnsi="Arial" w:cs="Arial"/>
              </w:rPr>
            </w:pPr>
            <w:r w:rsidRPr="00AE1A5A">
              <w:rPr>
                <w:rFonts w:ascii="Arial" w:eastAsia="標楷體" w:hAnsi="Arial" w:cs="Arial"/>
              </w:rPr>
              <w:t>第</w:t>
            </w:r>
            <w:r>
              <w:rPr>
                <w:rFonts w:ascii="Arial" w:eastAsia="標楷體" w:hAnsi="Arial" w:cs="Arial" w:hint="eastAsia"/>
              </w:rPr>
              <w:t>33</w:t>
            </w:r>
            <w:r w:rsidRPr="00AE1A5A">
              <w:rPr>
                <w:rFonts w:ascii="Arial" w:eastAsia="標楷體" w:hAnsi="Arial" w:cs="Arial"/>
              </w:rPr>
              <w:t>頁</w:t>
            </w:r>
          </w:p>
        </w:tc>
        <w:tc>
          <w:tcPr>
            <w:tcW w:w="1686" w:type="pct"/>
          </w:tcPr>
          <w:p w:rsidR="005F5377" w:rsidRPr="001B7191" w:rsidRDefault="005F5377" w:rsidP="00D27893">
            <w:pPr>
              <w:pStyle w:val="a4"/>
              <w:ind w:leftChars="0" w:left="0"/>
              <w:rPr>
                <w:rFonts w:ascii="Arial" w:eastAsia="標楷體" w:hAnsi="Arial" w:cs="Arial"/>
                <w:color w:val="000000"/>
                <w:lang w:eastAsia="zh-TW"/>
              </w:rPr>
            </w:pPr>
            <w:r w:rsidRPr="003E57E7">
              <w:rPr>
                <w:rFonts w:ascii="標楷體" w:eastAsia="標楷體" w:hAnsi="標楷體" w:hint="eastAsia"/>
              </w:rPr>
              <w:t>依據「國立故宮博物院南部院區附屬文教設施民間參與興建營運移轉案」第一部分甄審作業須知第33頁之4.1.8.1.1申請人之整體經營管理能力應同時具有以下興建營運之能力與實績部分，其中第一點「</w:t>
            </w:r>
            <w:r w:rsidRPr="003E57E7">
              <w:rPr>
                <w:rFonts w:ascii="標楷體" w:eastAsia="標楷體" w:hAnsi="標楷體"/>
              </w:rPr>
              <w:t>…</w:t>
            </w:r>
            <w:r w:rsidRPr="003E57E7">
              <w:rPr>
                <w:rFonts w:ascii="標楷體" w:eastAsia="標楷體" w:hAnsi="標楷體" w:hint="eastAsia"/>
              </w:rPr>
              <w:t>興建大型園區(可容納1,000人以上)</w:t>
            </w:r>
            <w:r w:rsidRPr="003E57E7">
              <w:rPr>
                <w:rFonts w:ascii="標楷體" w:eastAsia="標楷體" w:hAnsi="標楷體"/>
              </w:rPr>
              <w:t>…</w:t>
            </w:r>
            <w:r w:rsidRPr="003E57E7">
              <w:rPr>
                <w:rFonts w:ascii="標楷體" w:eastAsia="標楷體" w:hAnsi="標楷體" w:hint="eastAsia"/>
              </w:rPr>
              <w:t>」及第四點「具經營旅遊服務或大型園區(可容納1,000人以上)相關經驗之能力與實績」之「可容納1,000人以上」如何定義?另民間廠商應如何檢附「可容納1,000人以上」及「具經營旅遊服務或大型園區」之相關經驗能力與實績等證明文件供資格審查評定?</w:t>
            </w:r>
          </w:p>
        </w:tc>
        <w:tc>
          <w:tcPr>
            <w:tcW w:w="1927" w:type="pct"/>
          </w:tcPr>
          <w:p w:rsidR="005F5377" w:rsidRPr="002D57DD" w:rsidRDefault="005F5377" w:rsidP="005F5377">
            <w:pPr>
              <w:pStyle w:val="a4"/>
              <w:numPr>
                <w:ilvl w:val="0"/>
                <w:numId w:val="2"/>
              </w:numPr>
              <w:ind w:leftChars="0" w:left="397" w:hanging="397"/>
              <w:jc w:val="both"/>
              <w:rPr>
                <w:rFonts w:ascii="標楷體" w:eastAsia="標楷體" w:hAnsi="標楷體"/>
                <w:lang w:eastAsia="zh-TW"/>
              </w:rPr>
            </w:pPr>
            <w:r w:rsidRPr="002D57DD">
              <w:rPr>
                <w:rFonts w:ascii="標楷體" w:eastAsia="標楷體" w:hAnsi="標楷體" w:hint="eastAsia"/>
              </w:rPr>
              <w:t>有關「可容納1,000人以上」之相關定義，</w:t>
            </w:r>
            <w:r>
              <w:rPr>
                <w:rFonts w:ascii="標楷體" w:eastAsia="標楷體" w:hAnsi="標楷體" w:hint="eastAsia"/>
                <w:lang w:eastAsia="zh-TW"/>
              </w:rPr>
              <w:t>得參照</w:t>
            </w:r>
            <w:r w:rsidRPr="002D57DD">
              <w:rPr>
                <w:rFonts w:ascii="標楷體" w:eastAsia="標楷體" w:hAnsi="標楷體" w:hint="eastAsia"/>
              </w:rPr>
              <w:t>「消防法」</w:t>
            </w:r>
            <w:r>
              <w:rPr>
                <w:rFonts w:ascii="標楷體" w:eastAsia="標楷體" w:hAnsi="標楷體" w:hint="eastAsia"/>
                <w:lang w:eastAsia="zh-TW"/>
              </w:rPr>
              <w:t>、</w:t>
            </w:r>
            <w:r w:rsidRPr="002D57DD">
              <w:rPr>
                <w:rFonts w:ascii="標楷體" w:eastAsia="標楷體" w:hAnsi="標楷體" w:hint="eastAsia"/>
              </w:rPr>
              <w:t>「各類場所消防安全設備設置標準」</w:t>
            </w:r>
            <w:r>
              <w:rPr>
                <w:rFonts w:ascii="標楷體" w:eastAsia="標楷體" w:hAnsi="標楷體" w:hint="eastAsia"/>
                <w:lang w:eastAsia="zh-TW"/>
              </w:rPr>
              <w:t>、及</w:t>
            </w:r>
            <w:r w:rsidRPr="002D57DD">
              <w:rPr>
                <w:rFonts w:ascii="標楷體" w:eastAsia="標楷體" w:hAnsi="標楷體" w:hint="eastAsia"/>
              </w:rPr>
              <w:t>各縣市訂定特定場所容留人數管制管理規則</w:t>
            </w:r>
            <w:r>
              <w:rPr>
                <w:rFonts w:ascii="標楷體" w:eastAsia="標楷體" w:hAnsi="標楷體" w:hint="eastAsia"/>
                <w:lang w:eastAsia="zh-TW"/>
              </w:rPr>
              <w:t>，</w:t>
            </w:r>
            <w:r w:rsidRPr="002D57DD">
              <w:rPr>
                <w:rFonts w:ascii="標楷體" w:eastAsia="標楷體" w:hAnsi="標楷體" w:hint="eastAsia"/>
              </w:rPr>
              <w:t>計算該場所之收容</w:t>
            </w:r>
            <w:r>
              <w:rPr>
                <w:rFonts w:ascii="標楷體" w:eastAsia="標楷體" w:hAnsi="標楷體" w:hint="eastAsia"/>
                <w:lang w:eastAsia="zh-TW"/>
              </w:rPr>
              <w:t>(容留)</w:t>
            </w:r>
            <w:r w:rsidRPr="002D57DD">
              <w:rPr>
                <w:rFonts w:ascii="標楷體" w:eastAsia="標楷體" w:hAnsi="標楷體" w:hint="eastAsia"/>
              </w:rPr>
              <w:t>人員數量。</w:t>
            </w:r>
          </w:p>
          <w:p w:rsidR="005F5377" w:rsidRPr="002D57DD" w:rsidRDefault="005F5377" w:rsidP="005F5377">
            <w:pPr>
              <w:pStyle w:val="a4"/>
              <w:numPr>
                <w:ilvl w:val="0"/>
                <w:numId w:val="2"/>
              </w:numPr>
              <w:ind w:leftChars="0" w:left="397" w:hanging="397"/>
              <w:jc w:val="both"/>
              <w:rPr>
                <w:rFonts w:ascii="標楷體" w:eastAsia="標楷體" w:hAnsi="標楷體"/>
                <w:lang w:eastAsia="zh-TW"/>
              </w:rPr>
            </w:pPr>
            <w:r w:rsidRPr="002D57DD">
              <w:rPr>
                <w:rFonts w:ascii="標楷體" w:eastAsia="標楷體" w:hAnsi="標楷體" w:hint="eastAsia"/>
              </w:rPr>
              <w:t>申請人</w:t>
            </w:r>
            <w:r>
              <w:rPr>
                <w:rFonts w:ascii="標楷體" w:eastAsia="標楷體" w:hAnsi="標楷體" w:hint="eastAsia"/>
                <w:lang w:eastAsia="zh-TW"/>
              </w:rPr>
              <w:t>得以上開計算資料、或各縣市</w:t>
            </w:r>
            <w:r w:rsidRPr="002D57DD">
              <w:rPr>
                <w:rFonts w:ascii="標楷體" w:eastAsia="標楷體" w:hAnsi="標楷體" w:hint="eastAsia"/>
              </w:rPr>
              <w:t>「特定場所容留人數申報（變更）表」作為</w:t>
            </w:r>
            <w:r>
              <w:rPr>
                <w:rFonts w:ascii="標楷體" w:eastAsia="標楷體" w:hAnsi="標楷體" w:hint="eastAsia"/>
                <w:lang w:eastAsia="zh-TW"/>
              </w:rPr>
              <w:t>查驗文件之</w:t>
            </w:r>
            <w:r w:rsidRPr="002D57DD">
              <w:rPr>
                <w:rFonts w:ascii="標楷體" w:eastAsia="標楷體" w:hAnsi="標楷體" w:hint="eastAsia"/>
              </w:rPr>
              <w:t>依據。</w:t>
            </w:r>
          </w:p>
        </w:tc>
      </w:tr>
      <w:tr w:rsidR="005F5377" w:rsidRPr="00AE1A5A" w:rsidTr="00D27893">
        <w:trPr>
          <w:trHeight w:val="719"/>
          <w:jc w:val="center"/>
        </w:trPr>
        <w:tc>
          <w:tcPr>
            <w:tcW w:w="179" w:type="pct"/>
          </w:tcPr>
          <w:p w:rsidR="005F5377" w:rsidRPr="00AE1A5A" w:rsidRDefault="005F5377" w:rsidP="00D27893">
            <w:pPr>
              <w:spacing w:line="320" w:lineRule="exact"/>
              <w:jc w:val="center"/>
              <w:rPr>
                <w:rFonts w:ascii="Arial" w:eastAsia="標楷體" w:hAnsi="Arial" w:cs="Arial"/>
              </w:rPr>
            </w:pPr>
            <w:r>
              <w:rPr>
                <w:rFonts w:ascii="Arial" w:eastAsia="標楷體" w:hAnsi="Arial" w:cs="Arial" w:hint="eastAsia"/>
              </w:rPr>
              <w:t>2</w:t>
            </w:r>
          </w:p>
        </w:tc>
        <w:tc>
          <w:tcPr>
            <w:tcW w:w="677" w:type="pct"/>
          </w:tcPr>
          <w:p w:rsidR="005F5377" w:rsidRPr="003E57E7" w:rsidRDefault="005F5377" w:rsidP="00D27893">
            <w:pPr>
              <w:pStyle w:val="a4"/>
              <w:ind w:leftChars="0" w:left="0"/>
              <w:rPr>
                <w:rFonts w:ascii="標楷體" w:eastAsia="標楷體" w:hAnsi="標楷體"/>
              </w:rPr>
            </w:pPr>
            <w:r w:rsidRPr="003E57E7">
              <w:rPr>
                <w:rFonts w:ascii="標楷體" w:eastAsia="標楷體" w:hAnsi="標楷體" w:hint="eastAsia"/>
              </w:rPr>
              <w:t>國立故宮博物院南部院區附屬文教設施民間參與興建營運移轉案」第一部分甄審作業須知</w:t>
            </w:r>
          </w:p>
        </w:tc>
        <w:tc>
          <w:tcPr>
            <w:tcW w:w="531" w:type="pct"/>
          </w:tcPr>
          <w:p w:rsidR="005F5377" w:rsidRPr="00AE1A5A" w:rsidRDefault="005F5377" w:rsidP="00D27893">
            <w:pPr>
              <w:spacing w:line="320" w:lineRule="exact"/>
              <w:rPr>
                <w:rFonts w:ascii="Arial" w:eastAsia="標楷體" w:hAnsi="Arial" w:cs="Arial"/>
              </w:rPr>
            </w:pPr>
          </w:p>
        </w:tc>
        <w:tc>
          <w:tcPr>
            <w:tcW w:w="1686" w:type="pct"/>
          </w:tcPr>
          <w:p w:rsidR="005F5377" w:rsidRPr="003E57E7" w:rsidRDefault="005F5377" w:rsidP="00D27893">
            <w:pPr>
              <w:pStyle w:val="a4"/>
              <w:ind w:leftChars="0" w:left="0"/>
              <w:rPr>
                <w:rFonts w:ascii="標楷體" w:eastAsia="標楷體" w:hAnsi="標楷體"/>
              </w:rPr>
            </w:pPr>
            <w:r w:rsidRPr="003E57E7">
              <w:rPr>
                <w:rFonts w:ascii="標楷體" w:eastAsia="標楷體" w:hAnsi="標楷體" w:hint="eastAsia"/>
              </w:rPr>
              <w:t>承上4.1.8.1.1第四點「具經營旅遊服務或大型園區(可容納1,000人以上)相關經驗之能力與實績」部分，投標廠商資格應具備具經營旅遊服務業或經營大型園區其一或二者兼具?又如果是其一即可，經營旅遊服務是否亦須可容納1,000人以上?</w:t>
            </w:r>
          </w:p>
        </w:tc>
        <w:tc>
          <w:tcPr>
            <w:tcW w:w="1927" w:type="pct"/>
          </w:tcPr>
          <w:p w:rsidR="005F5377" w:rsidRDefault="005F5377" w:rsidP="005F5377">
            <w:pPr>
              <w:pStyle w:val="a4"/>
              <w:numPr>
                <w:ilvl w:val="0"/>
                <w:numId w:val="1"/>
              </w:numPr>
              <w:ind w:leftChars="0"/>
              <w:jc w:val="both"/>
              <w:rPr>
                <w:rFonts w:ascii="標楷體" w:eastAsia="標楷體" w:hAnsi="標楷體"/>
                <w:lang w:eastAsia="zh-TW"/>
              </w:rPr>
            </w:pPr>
            <w:r w:rsidRPr="002D57DD">
              <w:rPr>
                <w:rFonts w:ascii="標楷體" w:eastAsia="標楷體" w:hAnsi="標楷體" w:hint="eastAsia"/>
              </w:rPr>
              <w:t>申請人有關4.1.8.1.1第4點，其資格具備經營旅遊服務或具備經營大型園區(可容納1,000人以上)相關經驗之一即可。</w:t>
            </w:r>
          </w:p>
          <w:p w:rsidR="005F5377" w:rsidRPr="002D57DD" w:rsidRDefault="005F5377" w:rsidP="005F5377">
            <w:pPr>
              <w:pStyle w:val="a4"/>
              <w:numPr>
                <w:ilvl w:val="0"/>
                <w:numId w:val="1"/>
              </w:numPr>
              <w:ind w:leftChars="0"/>
              <w:jc w:val="both"/>
              <w:rPr>
                <w:rFonts w:ascii="標楷體" w:eastAsia="標楷體" w:hAnsi="標楷體"/>
                <w:lang w:eastAsia="zh-TW"/>
              </w:rPr>
            </w:pPr>
            <w:r>
              <w:rPr>
                <w:rFonts w:ascii="標楷體" w:eastAsia="標楷體" w:hAnsi="標楷體" w:hint="eastAsia"/>
                <w:lang w:eastAsia="zh-TW"/>
              </w:rPr>
              <w:t>本須知所稱大型園區係指可容納</w:t>
            </w:r>
            <w:r w:rsidRPr="003E57E7">
              <w:rPr>
                <w:rFonts w:ascii="標楷體" w:eastAsia="標楷體" w:hAnsi="標楷體" w:hint="eastAsia"/>
              </w:rPr>
              <w:t>1,000人以上</w:t>
            </w:r>
            <w:r>
              <w:rPr>
                <w:rFonts w:ascii="標楷體" w:eastAsia="標楷體" w:hAnsi="標楷體" w:hint="eastAsia"/>
                <w:lang w:eastAsia="zh-TW"/>
              </w:rPr>
              <w:t>者，經營旅遊服務則無此規定。</w:t>
            </w:r>
          </w:p>
        </w:tc>
      </w:tr>
    </w:tbl>
    <w:p w:rsidR="005F5377" w:rsidRPr="005F5377" w:rsidRDefault="005F5377"/>
    <w:sectPr w:rsidR="005F5377" w:rsidRPr="005F5377" w:rsidSect="00E3286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716" w:rsidRDefault="00D00716" w:rsidP="00DB1105">
      <w:r>
        <w:separator/>
      </w:r>
    </w:p>
  </w:endnote>
  <w:endnote w:type="continuationSeparator" w:id="1">
    <w:p w:rsidR="00D00716" w:rsidRDefault="00D00716" w:rsidP="00DB1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716" w:rsidRDefault="00D00716" w:rsidP="00DB1105">
      <w:r>
        <w:separator/>
      </w:r>
    </w:p>
  </w:footnote>
  <w:footnote w:type="continuationSeparator" w:id="1">
    <w:p w:rsidR="00D00716" w:rsidRDefault="00D00716" w:rsidP="00DB11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12BE6"/>
    <w:multiLevelType w:val="hybridMultilevel"/>
    <w:tmpl w:val="74102B44"/>
    <w:lvl w:ilvl="0" w:tplc="B4BC08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78C6E07"/>
    <w:multiLevelType w:val="hybridMultilevel"/>
    <w:tmpl w:val="850816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5377"/>
    <w:rsid w:val="003E6564"/>
    <w:rsid w:val="005F5377"/>
    <w:rsid w:val="006D4887"/>
    <w:rsid w:val="00955A9F"/>
    <w:rsid w:val="00D00716"/>
    <w:rsid w:val="00DB1105"/>
    <w:rsid w:val="00E3286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86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附件表名"/>
    <w:basedOn w:val="a"/>
    <w:rsid w:val="005F5377"/>
    <w:pPr>
      <w:spacing w:line="560" w:lineRule="exact"/>
      <w:jc w:val="center"/>
    </w:pPr>
    <w:rPr>
      <w:rFonts w:ascii="Times New Roman" w:eastAsia="標楷體" w:hAnsi="Times New Roman" w:cs="Times New Roman"/>
      <w:b/>
      <w:sz w:val="36"/>
      <w:szCs w:val="24"/>
    </w:rPr>
  </w:style>
  <w:style w:type="paragraph" w:styleId="a4">
    <w:name w:val="List Paragraph"/>
    <w:basedOn w:val="a"/>
    <w:uiPriority w:val="34"/>
    <w:qFormat/>
    <w:rsid w:val="005F5377"/>
    <w:pPr>
      <w:widowControl/>
      <w:ind w:leftChars="200" w:left="480"/>
    </w:pPr>
    <w:rPr>
      <w:rFonts w:ascii="Calibri" w:eastAsia="SimSun" w:hAnsi="Calibri" w:cs="Calibri"/>
      <w:kern w:val="0"/>
      <w:szCs w:val="24"/>
      <w:lang w:eastAsia="zh-CN"/>
    </w:rPr>
  </w:style>
  <w:style w:type="paragraph" w:styleId="a5">
    <w:name w:val="header"/>
    <w:basedOn w:val="a"/>
    <w:link w:val="a6"/>
    <w:uiPriority w:val="99"/>
    <w:semiHidden/>
    <w:unhideWhenUsed/>
    <w:rsid w:val="00DB1105"/>
    <w:pPr>
      <w:tabs>
        <w:tab w:val="center" w:pos="4153"/>
        <w:tab w:val="right" w:pos="8306"/>
      </w:tabs>
      <w:snapToGrid w:val="0"/>
    </w:pPr>
    <w:rPr>
      <w:sz w:val="20"/>
      <w:szCs w:val="20"/>
    </w:rPr>
  </w:style>
  <w:style w:type="character" w:customStyle="1" w:styleId="a6">
    <w:name w:val="頁首 字元"/>
    <w:basedOn w:val="a0"/>
    <w:link w:val="a5"/>
    <w:uiPriority w:val="99"/>
    <w:semiHidden/>
    <w:rsid w:val="00DB1105"/>
    <w:rPr>
      <w:sz w:val="20"/>
      <w:szCs w:val="20"/>
    </w:rPr>
  </w:style>
  <w:style w:type="paragraph" w:styleId="a7">
    <w:name w:val="footer"/>
    <w:basedOn w:val="a"/>
    <w:link w:val="a8"/>
    <w:uiPriority w:val="99"/>
    <w:semiHidden/>
    <w:unhideWhenUsed/>
    <w:rsid w:val="00DB1105"/>
    <w:pPr>
      <w:tabs>
        <w:tab w:val="center" w:pos="4153"/>
        <w:tab w:val="right" w:pos="8306"/>
      </w:tabs>
      <w:snapToGrid w:val="0"/>
    </w:pPr>
    <w:rPr>
      <w:sz w:val="20"/>
      <w:szCs w:val="20"/>
    </w:rPr>
  </w:style>
  <w:style w:type="character" w:customStyle="1" w:styleId="a8">
    <w:name w:val="頁尾 字元"/>
    <w:basedOn w:val="a0"/>
    <w:link w:val="a7"/>
    <w:uiPriority w:val="99"/>
    <w:semiHidden/>
    <w:rsid w:val="00DB1105"/>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629</Characters>
  <Application>Microsoft Office Word</Application>
  <DocSecurity>0</DocSecurity>
  <Lines>5</Lines>
  <Paragraphs>1</Paragraphs>
  <ScaleCrop>false</ScaleCrop>
  <Company>Hewlett-Packard Company</Company>
  <LinksUpToDate>false</LinksUpToDate>
  <CharactersWithSpaces>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hjwang</dc:creator>
  <cp:lastModifiedBy>hjwang</cp:lastModifiedBy>
  <cp:revision>3</cp:revision>
  <dcterms:created xsi:type="dcterms:W3CDTF">2014-09-23T08:50:00Z</dcterms:created>
  <dcterms:modified xsi:type="dcterms:W3CDTF">2014-09-23T08:57:00Z</dcterms:modified>
</cp:coreProperties>
</file>